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26F0CC8F" w14:textId="0CFCABA8" w:rsidR="00971ADB" w:rsidRPr="00B004A0" w:rsidRDefault="00295BBE" w:rsidP="00B11B1F">
      <w:pPr>
        <w:autoSpaceDN/>
        <w:spacing w:before="60" w:after="60"/>
        <w:jc w:val="center"/>
        <w:textAlignment w:val="auto"/>
        <w:rPr>
          <w:b/>
          <w:color w:val="000000"/>
        </w:rPr>
      </w:pPr>
      <w:r w:rsidRPr="00295BBE">
        <w:rPr>
          <w:b/>
          <w:color w:val="222222"/>
          <w:szCs w:val="24"/>
          <w:lang w:val="bs-Latn-BA"/>
        </w:rPr>
        <w:t>Procurement of protective equipment for inspectors</w:t>
      </w:r>
    </w:p>
    <w:p w14:paraId="14560370" w14:textId="77777777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3FEC50A5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MNE-MIDAS2-8820-ME-RFQ-G-25-</w:t>
      </w:r>
      <w:r w:rsidR="00295BBE">
        <w:rPr>
          <w:b/>
          <w:color w:val="000000"/>
          <w:sz w:val="22"/>
          <w:szCs w:val="22"/>
        </w:rPr>
        <w:t>2.9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63CEFE4B" w:rsidR="008474B6" w:rsidRDefault="008474B6" w:rsidP="00295BBE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295BBE" w:rsidRPr="00295BBE">
        <w:rPr>
          <w:rFonts w:ascii="Times New Roman" w:hAnsi="Times New Roman"/>
          <w:szCs w:val="24"/>
        </w:rPr>
        <w:t>Procurement of protective equipment for inspectors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16DBB565" w:rsidR="008474B6" w:rsidRPr="00162F71" w:rsidRDefault="008474B6" w:rsidP="00295BBE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295BBE" w:rsidRPr="00295BBE">
        <w:rPr>
          <w:rFonts w:ascii="Times New Roman" w:hAnsi="Times New Roman"/>
          <w:szCs w:val="24"/>
        </w:rPr>
        <w:t xml:space="preserve">protective equipment for inspectors </w:t>
      </w:r>
      <w:r w:rsidR="00971ADB">
        <w:rPr>
          <w:rFonts w:ascii="Times New Roman" w:hAnsi="Times New Roman"/>
          <w:szCs w:val="24"/>
        </w:rPr>
        <w:t>(</w:t>
      </w:r>
      <w:r w:rsidR="00295BBE">
        <w:rPr>
          <w:rFonts w:ascii="Times New Roman" w:hAnsi="Times New Roman"/>
          <w:szCs w:val="24"/>
        </w:rPr>
        <w:t>Winter jackets, Rain coats, Vests, Polo T-shirts, Rubber Boots, Magnetic badges, Disposable protective suits and coats</w:t>
      </w:r>
      <w:r w:rsidR="00971ADB">
        <w:rPr>
          <w:rFonts w:ascii="Times New Roman" w:hAnsi="Times New Roman"/>
          <w:szCs w:val="24"/>
        </w:rPr>
        <w:t>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295BBE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</w:t>
      </w:r>
      <w:bookmarkStart w:id="0" w:name="_GoBack"/>
      <w:bookmarkEnd w:id="0"/>
      <w:r w:rsidRPr="00162F71">
        <w:rPr>
          <w:rFonts w:ascii="Times New Roman" w:hAnsi="Times New Roman"/>
          <w:spacing w:val="-2"/>
        </w:rPr>
        <w:t>l address given below.</w:t>
      </w:r>
    </w:p>
    <w:p w14:paraId="48E24261" w14:textId="4E9A0EA6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295BBE">
        <w:rPr>
          <w:rFonts w:ascii="Times New Roman" w:eastAsia="Cambria" w:hAnsi="Times New Roman"/>
          <w:b/>
          <w:bCs/>
        </w:rPr>
        <w:t>November 17</w:t>
      </w:r>
      <w:r w:rsidRPr="00162F71">
        <w:rPr>
          <w:rFonts w:ascii="Times New Roman" w:eastAsia="Cambria" w:hAnsi="Times New Roman"/>
          <w:b/>
          <w:bCs/>
        </w:rPr>
        <w:t>, 202</w:t>
      </w:r>
      <w:r>
        <w:rPr>
          <w:rFonts w:ascii="Times New Roman" w:eastAsia="Cambria" w:hAnsi="Times New Roman"/>
          <w:b/>
          <w:bCs/>
        </w:rPr>
        <w:t>5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52150" w14:textId="77777777" w:rsidR="00070438" w:rsidRDefault="00070438">
      <w:pPr>
        <w:spacing w:after="0"/>
      </w:pPr>
      <w:r>
        <w:separator/>
      </w:r>
    </w:p>
  </w:endnote>
  <w:endnote w:type="continuationSeparator" w:id="0">
    <w:p w14:paraId="1DE86650" w14:textId="77777777" w:rsidR="00070438" w:rsidRDefault="00070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F992B" w14:textId="77777777" w:rsidR="00070438" w:rsidRDefault="0007043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751463A" w14:textId="77777777" w:rsidR="00070438" w:rsidRDefault="000704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604FC"/>
    <w:rsid w:val="00270F60"/>
    <w:rsid w:val="00283E6E"/>
    <w:rsid w:val="00295BB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12</cp:revision>
  <dcterms:created xsi:type="dcterms:W3CDTF">2025-09-08T09:33:00Z</dcterms:created>
  <dcterms:modified xsi:type="dcterms:W3CDTF">2025-10-31T08:11:00Z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